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38" w:rsidRPr="00965A4B" w:rsidRDefault="000E2538" w:rsidP="000E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 первом полугодии 2019 года на имя Губернатора Камчатского края, Первого вице-губернатора Камчатского края, Вице-губернатора Камчатского края, заместителей Председателя Правительства Камчатского края</w:t>
      </w:r>
    </w:p>
    <w:p w:rsidR="000E2538" w:rsidRPr="00965A4B" w:rsidRDefault="000E2538" w:rsidP="000E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BE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2019 года поступило </w:t>
      </w:r>
      <w:r w:rsidR="00633D0D"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1285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сравнению с аналогичным периодом прошлого года количество обращений уменьшилось на 20 % (1656 - в 2018</w:t>
      </w:r>
      <w:r w:rsidR="00214DBE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214DBE" w:rsidRPr="00965A4B" w:rsidRDefault="00214DBE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4B47691" wp14:editId="3A355764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6718300" cy="2734945"/>
            <wp:effectExtent l="0" t="0" r="6350" b="825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38" w:rsidRPr="00965A4B" w:rsidRDefault="00214DBE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в аналогичном периоде прошлого года произошло за счет резкого роста обращений на имя Президента Российской Федерации в рамках акции, связанной с неудовлетворительной р</w:t>
      </w:r>
      <w:r w:rsidR="00CC1B0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асчисткой города после циклонов,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выборами</w:t>
      </w:r>
      <w:r w:rsidR="00CC1B0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РФ.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0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количество обращений в адрес главы государства не превышает уровень, фиксируемый в 2017, 2016, 2015 годах. </w:t>
      </w:r>
    </w:p>
    <w:p w:rsidR="00CC1B04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345C3" wp14:editId="2E2848D8">
            <wp:simplePos x="0" y="0"/>
            <wp:positionH relativeFrom="margin">
              <wp:posOffset>-171450</wp:posOffset>
            </wp:positionH>
            <wp:positionV relativeFrom="paragraph">
              <wp:posOffset>266065</wp:posOffset>
            </wp:positionV>
            <wp:extent cx="6718300" cy="2734945"/>
            <wp:effectExtent l="0" t="0" r="6350" b="82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B04" w:rsidRPr="00965A4B" w:rsidRDefault="00CC1B04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0D" w:rsidRPr="00965A4B" w:rsidRDefault="003314DE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88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простую письменную форму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поступили 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переданы заяви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лично в Приемную граждан, также </w:t>
      </w:r>
      <w:r w:rsidR="007D3A89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поступают 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электронные сервисы Президента Российской Федерации и Правительства Камчатского края, </w:t>
      </w:r>
      <w:r w:rsidR="007D3A89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сопроводительным письмом </w:t>
      </w:r>
      <w:r w:rsidR="00BB2D2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перенаправляются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государственных органов.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0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электронном виде обращений поступило в Интернет приемную исполнительных органов государственной власти Камчатского края</w:t>
      </w:r>
      <w:r w:rsidR="007D3A89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размещенную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kamgov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C1480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(338</w:t>
      </w:r>
      <w:r w:rsidR="007D3A89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составляет 84 % от всех поступивших электронных писем)</w:t>
      </w:r>
      <w:r w:rsidR="00BB2D2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38" w:rsidRPr="00965A4B" w:rsidRDefault="007D3A89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принято 9 телеграмм и 8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поступило посредством факсимильной связи.</w:t>
      </w:r>
    </w:p>
    <w:p w:rsidR="000E2538" w:rsidRPr="00965A4B" w:rsidRDefault="007D3A89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устные обращения, принятые в ходе личных приемов граждан - это вдвое </w:t>
      </w:r>
      <w:r w:rsidR="00996EE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период прошлого года.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28" w:rsidRPr="00965A4B" w:rsidRDefault="00996EE4" w:rsidP="00CD2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2019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личном приеме к Губернатору Камчатского края, Первому вице-губернатору Камчатского края и заместителям Председателя Правительства Камчатского края обратилось </w:t>
      </w:r>
      <w:r w:rsidR="00CE6C14" w:rsidRPr="00CE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2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CE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 </w:t>
      </w:r>
      <w:r w:rsidR="00CE6C14" w:rsidRPr="00CE6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0E2538"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ходе выездных прие</w:t>
      </w:r>
      <w:r w:rsidR="00BB2D2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аналогичный период 2018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ходе личных приемов принято </w:t>
      </w: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96 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</w:t>
      </w: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принято в рабочих поездк</w:t>
      </w:r>
      <w:r w:rsidR="00CD26C9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муниципальные районы края (Приложение № 1)</w:t>
      </w:r>
      <w:r w:rsidR="00CE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двое жителей Камчатского края принято должностными лицами Администрации Президента Российской Федерации в режиме видео-конференц-связи. По поручению Губернатора Камчатского края в указанных приемах принимали уч</w:t>
      </w:r>
      <w:r w:rsidR="00996EE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заместители Председателя П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Камчатского края Зубарь Ю.Н. и </w:t>
      </w:r>
      <w:r w:rsidR="00996EE4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Вице-губернатор Камчатского края – Руководитель Аппарата Губернатора и Правительства Камчатского края Войтов А.Ю.</w:t>
      </w:r>
    </w:p>
    <w:p w:rsidR="000E2538" w:rsidRPr="00965A4B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осуществляется не только должностным, но и уполномоченным лицом - специалистами отдела по организации работы с обращениями граждан Главного контрольного управления Губернатора и Правительства Камчатского края (далее – отдел). Прием ведется ежедневно в Приемной граждан, расположенной в холле первого этажа здания Правительства Камчатского края.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лицам.</w:t>
      </w:r>
    </w:p>
    <w:p w:rsidR="00996EE4" w:rsidRPr="00965A4B" w:rsidRDefault="00996EE4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2019 года специалистами отдела принято </w:t>
      </w:r>
      <w:r w:rsidR="00CE6C1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B2D2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тематика поступивших в рассматриваемом периоде обращений по-прежнему относится к жилищной сфере - </w:t>
      </w:r>
      <w:r w:rsidR="003D525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525D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как 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просьбы о содействии в улучшении жилищных условий и переселении из ветхого и аварийного жилья (</w:t>
      </w: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0411"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E6C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количества).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предоставление коммунальных услуг ненадлежащего качества, состояние жилищно-коммунальной сферы и работу управляющих компаний обратились</w:t>
      </w:r>
      <w:r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411" w:rsidRPr="0096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(13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 иные данные о процентной доле вопросов, по которым отмечена повышенная активность граждан, обратившихся в отчетном периоде, приведены в диаграмме 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обращений, поступивших в первом полугодии 201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аналогичном периоде прошлого года, показывает, что процентная доля вопросов жилищно-коммунальной сферы остается неизменно высокой (около 30 %), то есть каждое третье обращение содержит вопросы данной тематики.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 первом полугодии 201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правовых оснований 1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рассмотрено с результатом «отказано».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330411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0E2538" w:rsidRPr="00965A4B" w:rsidRDefault="00330411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2538" w:rsidRPr="009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:rsidR="000E2538" w:rsidRPr="00965A4B" w:rsidRDefault="000E2538" w:rsidP="000E2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рассмотрения обращений с положительным результатом</w:t>
      </w:r>
    </w:p>
    <w:p w:rsidR="000E2538" w:rsidRPr="00965A4B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7572" w:rsidRPr="00965A4B" w:rsidRDefault="000E2538" w:rsidP="002075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207572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Правительство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Камчатского края обратил</w:t>
      </w:r>
      <w:r w:rsidR="00207572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7572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физической культуры Пионерской средней школы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просьбой оказать содействие в</w:t>
      </w:r>
      <w:r w:rsidR="00207572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7572" w:rsidRPr="00965A4B">
        <w:rPr>
          <w:rFonts w:ascii="Times New Roman" w:hAnsi="Times New Roman" w:cs="Times New Roman"/>
          <w:i/>
          <w:sz w:val="28"/>
          <w:szCs w:val="28"/>
        </w:rPr>
        <w:t>направлении команды школы на Всероссийский этап «Президентских спортивных игр».</w:t>
      </w:r>
    </w:p>
    <w:p w:rsidR="00207572" w:rsidRPr="00965A4B" w:rsidRDefault="00207572" w:rsidP="002075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B">
        <w:rPr>
          <w:rFonts w:ascii="Times New Roman" w:hAnsi="Times New Roman" w:cs="Times New Roman"/>
          <w:i/>
          <w:sz w:val="28"/>
          <w:szCs w:val="28"/>
        </w:rPr>
        <w:t>Обращение рассмотрено в Министерстве образования и молодежной политики Камчатского края, средства для направления команды выделены в полном объеме.</w:t>
      </w:r>
    </w:p>
    <w:p w:rsidR="00207572" w:rsidRPr="00965A4B" w:rsidRDefault="00207572" w:rsidP="002075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A4B">
        <w:rPr>
          <w:rFonts w:ascii="Times New Roman" w:hAnsi="Times New Roman" w:cs="Times New Roman"/>
          <w:i/>
          <w:sz w:val="28"/>
          <w:szCs w:val="28"/>
        </w:rPr>
        <w:t>Организацией, ответственной за отправку команды для участия во всероссийском этапе соревнований, назначено подведомственное Министерству учреждение.</w:t>
      </w:r>
    </w:p>
    <w:p w:rsidR="00207572" w:rsidRPr="00965A4B" w:rsidRDefault="00207572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A53" w:rsidRPr="00965A4B" w:rsidRDefault="00171A53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интернет приемную официального сайта исполнительных органов государственной власти Камчатского края</w:t>
      </w:r>
      <w:r w:rsidR="00213723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обратился житель </w:t>
      </w:r>
      <w:r w:rsidR="002A45D3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Елизово с просьбой принять меры по уборке отработанных автомобильных покрышек с контейнерных площадок.</w:t>
      </w:r>
    </w:p>
    <w:p w:rsidR="00171A53" w:rsidRPr="00965A4B" w:rsidRDefault="00AA0DB7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поручению Главы Елизовского городского поселения Управляющая организация вывезла автомобильные покрышки с контейнерной площадки. </w:t>
      </w:r>
    </w:p>
    <w:p w:rsidR="00AA0DB7" w:rsidRPr="00965A4B" w:rsidRDefault="00AA0DB7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начале июня на имя Губернатора Камчатского края и депутата Государственной Думы Федерального Собрания Российской Федерации Яровой И.А. поступило обращение с жалобой </w:t>
      </w:r>
      <w:r w:rsidR="00213723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размещени</w:t>
      </w:r>
      <w:r w:rsidR="00213723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краевого центра торговых точек по реализации алкогольной продукции и правомерности деятельности таковых в жилых многоквартирных домах.</w:t>
      </w:r>
    </w:p>
    <w:p w:rsidR="00171A53" w:rsidRPr="00965A4B" w:rsidRDefault="003F5BD1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поручению П</w:t>
      </w:r>
      <w:r w:rsidR="00AA0DB7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ервого виц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е-губернатора Камчатского края М</w:t>
      </w:r>
      <w:r w:rsidR="00AA0DB7"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инистерством экономического развития </w:t>
      </w: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торговли Камчатского края проведены проверки в отношении предпринимателей, осуществляющих розничную продажу алкогольной продукции, возбуждены дела об административных правонарушениях в области розничной продажи алкогольной продукции.</w:t>
      </w:r>
    </w:p>
    <w:p w:rsidR="003F5BD1" w:rsidRPr="00965A4B" w:rsidRDefault="003F5BD1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пресечению нарушений в сфере розничной продажи алкогольной продукции продолжается.</w:t>
      </w:r>
    </w:p>
    <w:p w:rsidR="00A71FD2" w:rsidRPr="00965A4B" w:rsidRDefault="00A71FD2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FD2" w:rsidRPr="00965A4B" w:rsidRDefault="00A71FD2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Губернатору Камчатского края обратился оргкомитет Кочующего фестиваля «Манящие Миры. Этническая Россия» с просьбой оказать содействие в организации участия Корякского фольклорного ансамбля «Ангт» в Крымской программе фестиваля.</w:t>
      </w:r>
    </w:p>
    <w:p w:rsidR="00AA0DB7" w:rsidRDefault="00A71FD2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рассмотрения обращения Министерством культуры Камчатского края принято решение об участии ведущих артистов ансамбля в Крымской программе фестиваля</w:t>
      </w:r>
    </w:p>
    <w:p w:rsidR="00AA0DB7" w:rsidRDefault="00AA0DB7" w:rsidP="0017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538" w:rsidRPr="005D03CC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38" w:rsidRPr="005D03CC" w:rsidRDefault="000E2538" w:rsidP="000E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38" w:rsidRPr="005D03CC" w:rsidRDefault="000E2538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E2538" w:rsidRDefault="000E2538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Default="00CE6C14" w:rsidP="000E2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E6C14" w:rsidRPr="00CE6C14" w:rsidRDefault="00CE6C14" w:rsidP="000E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22BE5" w:rsidRPr="00A1657C" w:rsidRDefault="000E2538" w:rsidP="00A1657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D7449D" wp14:editId="60702A8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2690" cy="5722620"/>
            <wp:effectExtent l="0" t="0" r="10160" b="114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BE5" w:rsidRPr="00A1657C" w:rsidSect="00467CD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8"/>
    <w:rsid w:val="000E2538"/>
    <w:rsid w:val="00122BE5"/>
    <w:rsid w:val="00171A53"/>
    <w:rsid w:val="00207572"/>
    <w:rsid w:val="00213723"/>
    <w:rsid w:val="00214DBE"/>
    <w:rsid w:val="002A45D3"/>
    <w:rsid w:val="00330411"/>
    <w:rsid w:val="003314DE"/>
    <w:rsid w:val="003D525D"/>
    <w:rsid w:val="003F5BD1"/>
    <w:rsid w:val="00633D0D"/>
    <w:rsid w:val="00635009"/>
    <w:rsid w:val="007D3A89"/>
    <w:rsid w:val="008A4BD5"/>
    <w:rsid w:val="00965A4B"/>
    <w:rsid w:val="00996EE4"/>
    <w:rsid w:val="00A1657C"/>
    <w:rsid w:val="00A71FD2"/>
    <w:rsid w:val="00AA0DB7"/>
    <w:rsid w:val="00BB2D28"/>
    <w:rsid w:val="00C10C01"/>
    <w:rsid w:val="00CC1B04"/>
    <w:rsid w:val="00CD26C9"/>
    <w:rsid w:val="00CE6C14"/>
    <w:rsid w:val="00EE65E8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041A-D67D-4037-AB9D-D66A0AD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4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603559115340027E-2"/>
          <c:y val="4.2489998874798603E-2"/>
          <c:w val="0.71122868900646674"/>
          <c:h val="0.8312866245447808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1.9546313799621927E-2"/>
                  <c:y val="3.9505364824521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425</c:v>
                </c:pt>
                <c:pt idx="1">
                  <c:v>274</c:v>
                </c:pt>
                <c:pt idx="2">
                  <c:v>273</c:v>
                </c:pt>
                <c:pt idx="3">
                  <c:v>222</c:v>
                </c:pt>
                <c:pt idx="4">
                  <c:v>213</c:v>
                </c:pt>
                <c:pt idx="5">
                  <c:v>249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232514177693762E-2"/>
                  <c:y val="3.714882749013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90359168241966E-2"/>
                  <c:y val="4.64360343626654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903591682419695E-2"/>
                  <c:y val="5.1079637798931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793950850661626E-2"/>
                  <c:y val="3.714882749013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465028355387523E-2"/>
                  <c:y val="3.714882749013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122873345935728E-2"/>
                  <c:y val="-5.10796377989320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233</c:v>
                </c:pt>
                <c:pt idx="1">
                  <c:v>222</c:v>
                </c:pt>
                <c:pt idx="2">
                  <c:v>209</c:v>
                </c:pt>
                <c:pt idx="3">
                  <c:v>206</c:v>
                </c:pt>
                <c:pt idx="4">
                  <c:v>187</c:v>
                </c:pt>
                <c:pt idx="5">
                  <c:v>263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8763192"/>
        <c:axId val="638764760"/>
      </c:lineChart>
      <c:catAx>
        <c:axId val="63876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764760"/>
        <c:crosses val="autoZero"/>
        <c:auto val="1"/>
        <c:lblAlgn val="ctr"/>
        <c:lblOffset val="100"/>
        <c:noMultiLvlLbl val="0"/>
      </c:catAx>
      <c:valAx>
        <c:axId val="6387647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я\н\в\а\р\ь" sourceLinked="0"/>
        <c:majorTickMark val="none"/>
        <c:minorTickMark val="none"/>
        <c:tickLblPos val="nextTo"/>
        <c:crossAx val="63876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603559115340027E-2"/>
          <c:y val="4.2489998874798603E-2"/>
          <c:w val="0.71122868900646674"/>
          <c:h val="0.8312866245447808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240</c:v>
                </c:pt>
                <c:pt idx="1">
                  <c:v>104</c:v>
                </c:pt>
                <c:pt idx="2">
                  <c:v>101</c:v>
                </c:pt>
                <c:pt idx="3">
                  <c:v>80</c:v>
                </c:pt>
                <c:pt idx="4">
                  <c:v>82</c:v>
                </c:pt>
                <c:pt idx="5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1154309870056412E-2"/>
                  <c:y val="-4.5404569378908986E-2"/>
                </c:manualLayout>
              </c:layout>
              <c:tx>
                <c:rich>
                  <a:bodyPr/>
                  <a:lstStyle/>
                  <a:p>
                    <a:fld id="{FB9EBE81-D8F0-4C1D-B5BF-DC0DA5385ED6}" type="VALUE">
                      <a:rPr lang="en-US" sz="900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9372311447836507E-2"/>
                  <c:y val="-4.8942483304051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328996918863438E-2"/>
                  <c:y val="-3.07000689227754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24108777518122E-2"/>
                  <c:y val="-4.5736203104632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24108777518122E-2"/>
                  <c:y val="-3.50116729952522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594004435645922E-2"/>
                  <c:y val="4.71358656206980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49</c:v>
                </c:pt>
                <c:pt idx="2">
                  <c:v>75</c:v>
                </c:pt>
                <c:pt idx="3">
                  <c:v>48</c:v>
                </c:pt>
                <c:pt idx="4">
                  <c:v>61</c:v>
                </c:pt>
                <c:pt idx="5">
                  <c:v>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232514177693762E-2"/>
                  <c:y val="3.714882749013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90359168241966E-2"/>
                  <c:y val="4.643603436266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903591682419695E-2"/>
                  <c:y val="5.107963779893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793950850661626E-2"/>
                  <c:y val="3.714882749013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465028355387523E-2"/>
                  <c:y val="3.714882749013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342155009451797E-2"/>
                  <c:y val="-1.3930810308799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47</c:v>
                </c:pt>
                <c:pt idx="1">
                  <c:v>42</c:v>
                </c:pt>
                <c:pt idx="2">
                  <c:v>50</c:v>
                </c:pt>
                <c:pt idx="3">
                  <c:v>44</c:v>
                </c:pt>
                <c:pt idx="4">
                  <c:v>37</c:v>
                </c:pt>
                <c:pt idx="5">
                  <c:v>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8762408"/>
        <c:axId val="638763976"/>
      </c:lineChart>
      <c:catAx>
        <c:axId val="63876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763976"/>
        <c:crosses val="autoZero"/>
        <c:auto val="1"/>
        <c:lblAlgn val="ctr"/>
        <c:lblOffset val="100"/>
        <c:noMultiLvlLbl val="0"/>
      </c:catAx>
      <c:valAx>
        <c:axId val="638763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я\н\в\а\р\ь" sourceLinked="0"/>
        <c:majorTickMark val="none"/>
        <c:minorTickMark val="none"/>
        <c:tickLblPos val="nextTo"/>
        <c:crossAx val="63876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77000"/>
                </a:srgbClr>
              </a:outerShdw>
              <a:softEdge rad="12700"/>
            </a:effectLst>
            <a:scene3d>
              <a:camera prst="orthographicFront"/>
              <a:lightRig rig="balanced" dir="t"/>
            </a:scene3d>
            <a:sp3d prstMaterial="dkEdge">
              <a:bevelT w="222250" prst="riblet"/>
              <a:bevelB prst="relaxedInset"/>
            </a:sp3d>
          </c:spPr>
          <c:explosion val="11"/>
          <c:dLbls>
            <c:dLbl>
              <c:idx val="0"/>
              <c:layout>
                <c:manualLayout>
                  <c:x val="-8.6127685159165315E-2"/>
                  <c:y val="-3.0699203356489803E-3"/>
                </c:manualLayout>
              </c:layout>
              <c:tx>
                <c:rich>
                  <a:bodyPr/>
                  <a:lstStyle/>
                  <a:p>
                    <a:pPr marL="0" indent="0">
                      <a:buNone/>
                      <a:defRPr sz="1200" baseline="0"/>
                    </a:pPr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Развитие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предпринимательской деятельности, малый и средний бизнес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pPr marL="0" indent="0">
                      <a:buNone/>
                      <a:defRPr sz="1200" baseline="0"/>
                    </a:pPr>
                    <a:r>
                      <a:rPr lang="ru-RU" sz="1600" dirty="0" smtClean="0"/>
                      <a:t>1,2%</a:t>
                    </a:r>
                    <a:endParaRPr lang="ru-RU" sz="1600" dirty="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666582665160164E-2"/>
                  <c:y val="-2.310869953276103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/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Социальное обеспечение, материальная помощь многодетный, пенсионерам и малообеспеченным слоям населения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14%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547618466963467E-3"/>
                  <c:y val="4.2780515023923681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Благоустройство городов и поселков. Обустройство придомовых территорий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6,7%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652561239432288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Выделение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земельных участков для строительства, фермерства, огородничества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3%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155493226015783"/>
                  <c:y val="-1.0128227979492724E-3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Переселение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из подвалов, бараков, общежитий, аварийного и ветхого жилья. Улучшение жилищных условий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16%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87057625936773E-2"/>
                  <c:y val="2.9725161623739685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Оплата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жилищно-коммунальных услуг. Тарифы и льготы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 4,8%</a:t>
                    </a:r>
                    <a:endParaRPr lang="ru-RU" sz="1600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21148147044184E-2"/>
                  <c:y val="7.8492371009962689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Управляющие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компании, договоры на содержание и ремонт жилья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600" dirty="0" smtClean="0"/>
                      <a:t>5%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4388401288745695"/>
                  <c:y val="2.357017225663012E-2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Предоставление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коммунальных </a:t>
                    </a:r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услуг </a:t>
                    </a:r>
                  </a:p>
                  <a:p>
                    <a:r>
                      <a:rPr lang="ru-RU" i="1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ненадлежащего качества</a:t>
                    </a:r>
                    <a:r>
                      <a:rPr lang="ru-RU" i="1" baseline="0" dirty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sz="1600" dirty="0" smtClean="0"/>
                      <a:t>3,3%</a:t>
                    </a:r>
                    <a:endParaRPr lang="ru-RU" sz="16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1. Развитие предпринимательской деятельности, малый и средний бизнес</c:v>
                </c:pt>
                <c:pt idx="1">
                  <c:v>2. Социальное обеспечение, материальная помощь многодетный, пенсионерам и малообеспеченным слоям населения</c:v>
                </c:pt>
                <c:pt idx="2">
                  <c:v>3. Благоустройство городов и поселков. Обустройство придомовых территорий</c:v>
                </c:pt>
                <c:pt idx="3">
                  <c:v>4. Выделение земельных участков для строительства, фермерства, огородничества</c:v>
                </c:pt>
                <c:pt idx="4">
                  <c:v>5. Переселение из подвалов, бараков, общежитий, аварийного и ветхого жилья. Улучшение жилищных условий</c:v>
                </c:pt>
                <c:pt idx="5">
                  <c:v>6. Оплата жилищно-коммунальных услуг. Тарифы и льготы</c:v>
                </c:pt>
                <c:pt idx="6">
                  <c:v>7. Управляющие компании, договоры на содержание и ремонт жилья</c:v>
                </c:pt>
                <c:pt idx="7">
                  <c:v>8. Предоставление коммунальных услуг ненадлежащего качества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1.2</c:v>
                </c:pt>
                <c:pt idx="2">
                  <c:v>4.8</c:v>
                </c:pt>
                <c:pt idx="3">
                  <c:v>1.3</c:v>
                </c:pt>
                <c:pt idx="4">
                  <c:v>13</c:v>
                </c:pt>
                <c:pt idx="5">
                  <c:v>5.5</c:v>
                </c:pt>
                <c:pt idx="6">
                  <c:v>6.6</c:v>
                </c:pt>
                <c:pt idx="7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"/>
      </c:pieChart>
      <c:spPr>
        <a:effectLst>
          <a:glow rad="63500">
            <a:srgbClr val="C00000">
              <a:alpha val="40000"/>
            </a:srgbClr>
          </a:glo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Райзих Анжела Александровна</cp:lastModifiedBy>
  <cp:revision>2</cp:revision>
  <cp:lastPrinted>2019-07-30T00:01:00Z</cp:lastPrinted>
  <dcterms:created xsi:type="dcterms:W3CDTF">2019-07-30T02:08:00Z</dcterms:created>
  <dcterms:modified xsi:type="dcterms:W3CDTF">2019-07-30T02:08:00Z</dcterms:modified>
</cp:coreProperties>
</file>